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1C63" w14:textId="77777777" w:rsidR="000D21E2" w:rsidRPr="00E310BA" w:rsidRDefault="000D21E2" w:rsidP="009A12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0BA">
        <w:rPr>
          <w:rFonts w:ascii="Times New Roman" w:hAnsi="Times New Roman" w:cs="Times New Roman"/>
          <w:b/>
          <w:bCs/>
          <w:sz w:val="28"/>
          <w:szCs w:val="28"/>
        </w:rPr>
        <w:t>«Подсказки» вместо указаний: как косвенные методы руководства обогащают детскую игру</w:t>
      </w:r>
    </w:p>
    <w:p w14:paraId="44144CED" w14:textId="5F0E014A" w:rsidR="00E310BA" w:rsidRPr="00E310BA" w:rsidRDefault="00E310BA" w:rsidP="009A12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310BA">
        <w:rPr>
          <w:rFonts w:ascii="Times New Roman" w:hAnsi="Times New Roman" w:cs="Times New Roman"/>
          <w:b/>
          <w:bCs/>
          <w:sz w:val="28"/>
          <w:szCs w:val="28"/>
        </w:rPr>
        <w:t>Сл</w:t>
      </w:r>
      <w:proofErr w:type="spellEnd"/>
      <w:r w:rsidRPr="00E310B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6D6CC612" w14:textId="7269133F" w:rsidR="007075CA" w:rsidRPr="007075CA" w:rsidRDefault="000D21E2" w:rsidP="009A1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уважаемые коллеги! С</w:t>
      </w:r>
      <w:r w:rsidR="0052400B" w:rsidRPr="0052400B">
        <w:rPr>
          <w:rFonts w:ascii="Times New Roman" w:hAnsi="Times New Roman" w:cs="Times New Roman"/>
          <w:sz w:val="28"/>
          <w:szCs w:val="28"/>
        </w:rPr>
        <w:t xml:space="preserve">егодня мы поговорим о тонком искусстве направлять детскую игру, не возглавляя ее. </w:t>
      </w:r>
      <w:r w:rsidR="007075CA">
        <w:rPr>
          <w:rFonts w:ascii="Times New Roman" w:hAnsi="Times New Roman" w:cs="Times New Roman"/>
          <w:sz w:val="28"/>
          <w:szCs w:val="28"/>
        </w:rPr>
        <w:t>Ц</w:t>
      </w:r>
      <w:r w:rsidR="007075CA" w:rsidRPr="007075CA">
        <w:rPr>
          <w:rFonts w:ascii="Times New Roman" w:hAnsi="Times New Roman" w:cs="Times New Roman"/>
          <w:sz w:val="28"/>
          <w:szCs w:val="28"/>
        </w:rPr>
        <w:t xml:space="preserve">ель нашего доклада </w:t>
      </w:r>
      <w:r w:rsidR="008F2408" w:rsidRPr="008F2408">
        <w:rPr>
          <w:rFonts w:ascii="Times New Roman" w:hAnsi="Times New Roman" w:cs="Times New Roman"/>
          <w:sz w:val="28"/>
          <w:szCs w:val="28"/>
        </w:rPr>
        <w:t>–</w:t>
      </w:r>
      <w:r w:rsidR="008F2408">
        <w:rPr>
          <w:rFonts w:ascii="Times New Roman" w:hAnsi="Times New Roman" w:cs="Times New Roman"/>
          <w:sz w:val="28"/>
          <w:szCs w:val="28"/>
        </w:rPr>
        <w:t xml:space="preserve"> </w:t>
      </w:r>
      <w:r w:rsidR="007075CA" w:rsidRPr="007075CA">
        <w:rPr>
          <w:rFonts w:ascii="Times New Roman" w:hAnsi="Times New Roman" w:cs="Times New Roman"/>
          <w:sz w:val="28"/>
          <w:szCs w:val="28"/>
        </w:rPr>
        <w:t>перевести роль взрослого из режиссера в соавторы детской игры.</w:t>
      </w:r>
      <w:r w:rsidR="007075CA">
        <w:rPr>
          <w:rFonts w:ascii="Times New Roman" w:hAnsi="Times New Roman" w:cs="Times New Roman"/>
          <w:sz w:val="28"/>
          <w:szCs w:val="28"/>
        </w:rPr>
        <w:t xml:space="preserve"> </w:t>
      </w:r>
      <w:r w:rsidR="0052400B" w:rsidRPr="0052400B">
        <w:rPr>
          <w:rFonts w:ascii="Times New Roman" w:hAnsi="Times New Roman" w:cs="Times New Roman"/>
          <w:sz w:val="28"/>
          <w:szCs w:val="28"/>
        </w:rPr>
        <w:t xml:space="preserve">Часто наше естественное желание помочь и научить проявляется в прямых указаниях: «Построй вот здесь домик», «Раскрась небо голубым». Но что, если заменить эти инструкции на «подсказки» – проблемные ситуации и провокационные вопросы? Такой сдвиг в позиции взрослого из режиссера в соавтора кардинально преображает игру, делая ее </w:t>
      </w:r>
      <w:r w:rsidR="007075CA">
        <w:rPr>
          <w:rFonts w:ascii="Times New Roman" w:hAnsi="Times New Roman" w:cs="Times New Roman"/>
          <w:sz w:val="28"/>
          <w:szCs w:val="28"/>
        </w:rPr>
        <w:t>глубже</w:t>
      </w:r>
      <w:r w:rsidR="0052400B" w:rsidRPr="0052400B">
        <w:rPr>
          <w:rFonts w:ascii="Times New Roman" w:hAnsi="Times New Roman" w:cs="Times New Roman"/>
          <w:sz w:val="28"/>
          <w:szCs w:val="28"/>
        </w:rPr>
        <w:t>, сложнее и по-настоящему детской.</w:t>
      </w:r>
      <w:r w:rsidR="007075CA" w:rsidRPr="007075C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7075CA" w:rsidRPr="007075CA">
        <w:rPr>
          <w:rFonts w:ascii="Times New Roman" w:hAnsi="Times New Roman" w:cs="Times New Roman"/>
          <w:sz w:val="28"/>
          <w:szCs w:val="28"/>
        </w:rPr>
        <w:t>Давайте рассмотрим, как это работает на практике.</w:t>
      </w:r>
    </w:p>
    <w:p w14:paraId="00F7A504" w14:textId="3673AA21" w:rsidR="008F2408" w:rsidRPr="009A1287" w:rsidRDefault="008F2408" w:rsidP="009A12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A1287">
        <w:rPr>
          <w:rFonts w:ascii="Times New Roman" w:hAnsi="Times New Roman" w:cs="Times New Roman"/>
          <w:b/>
          <w:bCs/>
          <w:sz w:val="28"/>
          <w:szCs w:val="28"/>
        </w:rPr>
        <w:t>Сл</w:t>
      </w:r>
      <w:proofErr w:type="spellEnd"/>
      <w:r w:rsidRPr="009A1287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37824353" w14:textId="77777777" w:rsidR="007075CA" w:rsidRPr="007075CA" w:rsidRDefault="007075CA" w:rsidP="009A1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5CA">
        <w:rPr>
          <w:rFonts w:ascii="Times New Roman" w:hAnsi="Times New Roman" w:cs="Times New Roman"/>
          <w:sz w:val="28"/>
          <w:szCs w:val="28"/>
        </w:rPr>
        <w:t xml:space="preserve">Один из ключевых приемов </w:t>
      </w:r>
      <w:r w:rsidR="008F2408" w:rsidRPr="008F2408">
        <w:rPr>
          <w:rFonts w:ascii="Times New Roman" w:hAnsi="Times New Roman" w:cs="Times New Roman"/>
          <w:sz w:val="28"/>
          <w:szCs w:val="28"/>
        </w:rPr>
        <w:t>–</w:t>
      </w:r>
      <w:r w:rsidRPr="007075CA">
        <w:rPr>
          <w:rFonts w:ascii="Times New Roman" w:hAnsi="Times New Roman" w:cs="Times New Roman"/>
          <w:sz w:val="28"/>
          <w:szCs w:val="28"/>
        </w:rPr>
        <w:t xml:space="preserve"> создание проблемной ситуации. Вместо указания «Накорми куклу обедом» можно озадачить ребенка: «Кажется, наша кукла Катя сегодня совсем невеселая. Как ты думаешь, что с ней?» Этот вопрос запускает целый каскад размышлений и действий. Может, она грустит, потому что хочет на день рождения? Или она заболела, и нужно приготовить особое лекарство? А может, ее котенок потерялся, и его нужно найти? Такая проблема превращает простое кормление в многослойный сюжет, где ребенок сам определяет причину и находит решение, проявляя инициативу и эмпатию.</w:t>
      </w:r>
    </w:p>
    <w:p w14:paraId="7A731BC1" w14:textId="43DDBA11" w:rsidR="00F32763" w:rsidRPr="009A1287" w:rsidRDefault="00F32763" w:rsidP="009A12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A1287">
        <w:rPr>
          <w:rFonts w:ascii="Times New Roman" w:hAnsi="Times New Roman" w:cs="Times New Roman"/>
          <w:b/>
          <w:bCs/>
          <w:sz w:val="28"/>
          <w:szCs w:val="28"/>
        </w:rPr>
        <w:t>Сл</w:t>
      </w:r>
      <w:proofErr w:type="spellEnd"/>
      <w:r w:rsidRPr="009A1287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14:paraId="1B5D9BD3" w14:textId="4D70C645" w:rsidR="007075CA" w:rsidRPr="007075CA" w:rsidRDefault="007075CA" w:rsidP="009A1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5CA">
        <w:rPr>
          <w:rFonts w:ascii="Times New Roman" w:hAnsi="Times New Roman" w:cs="Times New Roman"/>
          <w:sz w:val="28"/>
          <w:szCs w:val="28"/>
        </w:rPr>
        <w:t xml:space="preserve">Другой мощный инструмент </w:t>
      </w:r>
      <w:r w:rsidR="008F2408" w:rsidRPr="008F2408">
        <w:rPr>
          <w:rFonts w:ascii="Times New Roman" w:hAnsi="Times New Roman" w:cs="Times New Roman"/>
          <w:sz w:val="28"/>
          <w:szCs w:val="28"/>
        </w:rPr>
        <w:t>–</w:t>
      </w:r>
      <w:r w:rsidRPr="007075CA">
        <w:rPr>
          <w:rFonts w:ascii="Times New Roman" w:hAnsi="Times New Roman" w:cs="Times New Roman"/>
          <w:sz w:val="28"/>
          <w:szCs w:val="28"/>
        </w:rPr>
        <w:t xml:space="preserve"> провокационные вопросы, которые расширяют игровое пространство. Фраза «Ваш корабль потерпел крушение у необитаемого острова. Что вы видите вокруг и что будете делать сначала?» работает как ключ, запускающий воображение. Дети начинают совместно выстраивать картину мира: «Я вижу пальмы и кокосы!», «А там пещера, может, там пираты?», «Давайте сначала построим шалаш из веток!». В этот момент рождается не просто игра, а полноценный проект, где детям приходится договариваться, учитывать идеи друг друга и совместно планировать следующие шаги.</w:t>
      </w:r>
    </w:p>
    <w:p w14:paraId="712FB655" w14:textId="24D6B1B4" w:rsidR="008F2408" w:rsidRPr="009A1287" w:rsidRDefault="008F2408" w:rsidP="009A12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A1287">
        <w:rPr>
          <w:rFonts w:ascii="Times New Roman" w:hAnsi="Times New Roman" w:cs="Times New Roman"/>
          <w:b/>
          <w:bCs/>
          <w:sz w:val="28"/>
          <w:szCs w:val="28"/>
        </w:rPr>
        <w:t>Сл</w:t>
      </w:r>
      <w:proofErr w:type="spellEnd"/>
      <w:r w:rsidRPr="009A12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600C" w:rsidRPr="009A1287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E72BC0F" w14:textId="5B6C0614" w:rsidR="007075CA" w:rsidRDefault="007075CA" w:rsidP="009A1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5CA">
        <w:rPr>
          <w:rFonts w:ascii="Times New Roman" w:hAnsi="Times New Roman" w:cs="Times New Roman"/>
          <w:sz w:val="28"/>
          <w:szCs w:val="28"/>
        </w:rPr>
        <w:t>В конструировании волшебным эффектом обладает вопрос «Как нам это построить?». Стоя перед кучей кубиков, мы не даем инструкцию «Строй стену», а признаемся в своем «незнании» и приглашаем ребенка стать инженером. Он начинает экспериментировать: «Давайте сделаем фундамент шире, чтобы башня не падала!», «А для крыши нам нужны треугольные детали!». Это рождает обсуждение, поиск инженерных решений и гордость за совместно созданное. Еще один пример: если постройка рухнула, вместо «Я же говорил» спросите: «Интересно, почему она обвалилась? Как сделать устойчивее?» — и ребенок сам придет к выводу о важности прочного основания.</w:t>
      </w:r>
    </w:p>
    <w:p w14:paraId="5A32163D" w14:textId="506F1CDD" w:rsidR="00F6600C" w:rsidRPr="009A1287" w:rsidRDefault="00F6600C" w:rsidP="009A12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A1287">
        <w:rPr>
          <w:rFonts w:ascii="Times New Roman" w:hAnsi="Times New Roman" w:cs="Times New Roman"/>
          <w:b/>
          <w:bCs/>
          <w:sz w:val="28"/>
          <w:szCs w:val="28"/>
        </w:rPr>
        <w:t>Сл</w:t>
      </w:r>
      <w:proofErr w:type="spellEnd"/>
      <w:r w:rsidRPr="009A1287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</w:p>
    <w:p w14:paraId="22A57BEB" w14:textId="77777777" w:rsidR="007075CA" w:rsidRPr="007075CA" w:rsidRDefault="007075CA" w:rsidP="009A1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5CA">
        <w:rPr>
          <w:rFonts w:ascii="Times New Roman" w:hAnsi="Times New Roman" w:cs="Times New Roman"/>
          <w:sz w:val="28"/>
          <w:szCs w:val="28"/>
        </w:rPr>
        <w:t xml:space="preserve">В сюжетно-ролевой игре незаменимы открытые вопросы, передающие детям авторство. Вместо «Сейчас ты будешь продавцом, а я покупателем» можно спросить: «Я заблудился в вашем городе. Вы местный житель? Можете мне помочь?» Это мгновенно меняет шаблон: ребенок не просто выдает товар, а становится гидом, советует, куда сходить, рассказывает о достопримечательностях. Другой пример: в игре «Больница» вместо «Сейчас будем ставить укол» можно озадачить: «Доктор, а какие еще способы лечения, кроме уколов, вы можете предложить? Может, есть волшебные </w:t>
      </w:r>
      <w:r w:rsidRPr="007075CA">
        <w:rPr>
          <w:rFonts w:ascii="Times New Roman" w:hAnsi="Times New Roman" w:cs="Times New Roman"/>
          <w:sz w:val="28"/>
          <w:szCs w:val="28"/>
        </w:rPr>
        <w:lastRenderedPageBreak/>
        <w:t>таблетки или физиопроцедуры?» — и вот уже ребенок-врач разрабатывает целый комплекс оздоровительных мер.</w:t>
      </w:r>
    </w:p>
    <w:p w14:paraId="418FB280" w14:textId="6174E62C" w:rsidR="008F2408" w:rsidRPr="009A1287" w:rsidRDefault="008F2408" w:rsidP="009A12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A1287">
        <w:rPr>
          <w:rFonts w:ascii="Times New Roman" w:hAnsi="Times New Roman" w:cs="Times New Roman"/>
          <w:b/>
          <w:bCs/>
          <w:sz w:val="28"/>
          <w:szCs w:val="28"/>
        </w:rPr>
        <w:t>Сл</w:t>
      </w:r>
      <w:proofErr w:type="spellEnd"/>
      <w:r w:rsidRPr="009A12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600C" w:rsidRPr="009A1287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40BFA0F5" w14:textId="77777777" w:rsidR="007075CA" w:rsidRPr="007075CA" w:rsidRDefault="007075CA" w:rsidP="009A1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5CA">
        <w:rPr>
          <w:rFonts w:ascii="Times New Roman" w:hAnsi="Times New Roman" w:cs="Times New Roman"/>
          <w:sz w:val="28"/>
          <w:szCs w:val="28"/>
        </w:rPr>
        <w:t>Таким образом, переход от указаний к «подсказкам» — это не просто смена слов, а изменение философии взаимодействия. Мы создаем среду, где проблемы — это возможности, а вопросы — ключи, запускающие мышление и диалог. В такой игре ребенок чувствует себя настоящим творцом и автором. Он учится не следовать инструкциям, а думать, спорить, фантазировать и договариваться. Именно эти навыки — инициативность, креативность и умение работать в команде — становятся главным результатом по-настоящему богатой и развивающей игры.</w:t>
      </w:r>
    </w:p>
    <w:p w14:paraId="2F9BAFD9" w14:textId="77777777" w:rsidR="0047210E" w:rsidRDefault="0047210E" w:rsidP="009A1287">
      <w:pPr>
        <w:spacing w:after="0" w:line="240" w:lineRule="auto"/>
        <w:ind w:firstLine="709"/>
        <w:jc w:val="both"/>
      </w:pPr>
    </w:p>
    <w:sectPr w:rsidR="0047210E" w:rsidSect="009A12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A7B5" w14:textId="77777777" w:rsidR="008B0AD5" w:rsidRDefault="008B0AD5" w:rsidP="000D21E2">
      <w:pPr>
        <w:spacing w:after="0" w:line="240" w:lineRule="auto"/>
      </w:pPr>
      <w:r>
        <w:separator/>
      </w:r>
    </w:p>
  </w:endnote>
  <w:endnote w:type="continuationSeparator" w:id="0">
    <w:p w14:paraId="73931634" w14:textId="77777777" w:rsidR="008B0AD5" w:rsidRDefault="008B0AD5" w:rsidP="000D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8221" w14:textId="77777777" w:rsidR="008B0AD5" w:rsidRDefault="008B0AD5" w:rsidP="000D21E2">
      <w:pPr>
        <w:spacing w:after="0" w:line="240" w:lineRule="auto"/>
      </w:pPr>
      <w:r>
        <w:separator/>
      </w:r>
    </w:p>
  </w:footnote>
  <w:footnote w:type="continuationSeparator" w:id="0">
    <w:p w14:paraId="465AF28D" w14:textId="77777777" w:rsidR="008B0AD5" w:rsidRDefault="008B0AD5" w:rsidP="000D2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E1582"/>
    <w:multiLevelType w:val="multilevel"/>
    <w:tmpl w:val="7B70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877D4"/>
    <w:multiLevelType w:val="multilevel"/>
    <w:tmpl w:val="AC18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164A9"/>
    <w:multiLevelType w:val="multilevel"/>
    <w:tmpl w:val="DC36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C5CF9"/>
    <w:multiLevelType w:val="multilevel"/>
    <w:tmpl w:val="2AC8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D3284"/>
    <w:multiLevelType w:val="multilevel"/>
    <w:tmpl w:val="6C4C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B42E9"/>
    <w:multiLevelType w:val="multilevel"/>
    <w:tmpl w:val="336A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C7CFB"/>
    <w:multiLevelType w:val="multilevel"/>
    <w:tmpl w:val="D8C0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FA"/>
    <w:rsid w:val="000D21E2"/>
    <w:rsid w:val="000F1035"/>
    <w:rsid w:val="003616A2"/>
    <w:rsid w:val="00433D0B"/>
    <w:rsid w:val="0047210E"/>
    <w:rsid w:val="00491842"/>
    <w:rsid w:val="0052400B"/>
    <w:rsid w:val="007075CA"/>
    <w:rsid w:val="008B0AD5"/>
    <w:rsid w:val="008F2408"/>
    <w:rsid w:val="008F7FFA"/>
    <w:rsid w:val="009A1287"/>
    <w:rsid w:val="00B1478D"/>
    <w:rsid w:val="00E310BA"/>
    <w:rsid w:val="00F32763"/>
    <w:rsid w:val="00F6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CFB6"/>
  <w15:chartTrackingRefBased/>
  <w15:docId w15:val="{08331DEA-CA11-41CC-97A7-6F4A9670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1E2"/>
  </w:style>
  <w:style w:type="paragraph" w:styleId="a5">
    <w:name w:val="footer"/>
    <w:basedOn w:val="a"/>
    <w:link w:val="a6"/>
    <w:uiPriority w:val="99"/>
    <w:unhideWhenUsed/>
    <w:rsid w:val="000D2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4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Сидорова Алёна Александровна</cp:lastModifiedBy>
  <cp:revision>8</cp:revision>
  <dcterms:created xsi:type="dcterms:W3CDTF">2025-10-23T09:14:00Z</dcterms:created>
  <dcterms:modified xsi:type="dcterms:W3CDTF">2025-11-04T11:30:00Z</dcterms:modified>
</cp:coreProperties>
</file>